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221" w:rsidRPr="00E42755" w:rsidRDefault="00D66221" w:rsidP="00D66221">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VOTO PARTICULAR QUE FORMULA LA COMISIONADA EVA ABAID YAPUR, EN RELACIÓN CON LA RESOLUCIÓN DICTADA POR EL PLENO DEL INSTITUTO DE TRANSPARENCIA, ACCESO A LA INFORMACIÓN PÚBLICA Y PROTECCIÓN DE DATOS PERSONALES DEL ESTAD</w:t>
      </w:r>
      <w:r w:rsidR="0078785E">
        <w:rPr>
          <w:rFonts w:ascii="Palatino Linotype" w:hAnsi="Palatino Linotype" w:cs="Arial"/>
          <w:b/>
        </w:rPr>
        <w:t xml:space="preserve">O DE MÉXICO Y MUNICIPIOS, EN LA </w:t>
      </w:r>
      <w:r w:rsidR="00714978">
        <w:rPr>
          <w:rFonts w:ascii="Palatino Linotype" w:hAnsi="Palatino Linotype" w:cs="Arial"/>
          <w:b/>
        </w:rPr>
        <w:t xml:space="preserve">SEXTA </w:t>
      </w:r>
      <w:r w:rsidRPr="0007653D">
        <w:rPr>
          <w:rFonts w:ascii="Palatino Linotype" w:hAnsi="Palatino Linotype" w:cs="Arial"/>
          <w:b/>
        </w:rPr>
        <w:t xml:space="preserve">SESIÓN ORDINARIA DE </w:t>
      </w:r>
      <w:r w:rsidR="00714978">
        <w:rPr>
          <w:rFonts w:ascii="Palatino Linotype" w:hAnsi="Palatino Linotype" w:cs="Arial"/>
          <w:b/>
        </w:rPr>
        <w:t xml:space="preserve">TRECE </w:t>
      </w:r>
      <w:r>
        <w:rPr>
          <w:rFonts w:ascii="Palatino Linotype" w:hAnsi="Palatino Linotype" w:cs="Arial"/>
          <w:b/>
        </w:rPr>
        <w:t xml:space="preserve">DE </w:t>
      </w:r>
      <w:r w:rsidR="00714978">
        <w:rPr>
          <w:rFonts w:ascii="Palatino Linotype" w:hAnsi="Palatino Linotype" w:cs="Arial"/>
          <w:b/>
        </w:rPr>
        <w:t xml:space="preserve">FEBRERO </w:t>
      </w:r>
      <w:r>
        <w:rPr>
          <w:rFonts w:ascii="Palatino Linotype" w:hAnsi="Palatino Linotype" w:cs="Arial"/>
          <w:b/>
        </w:rPr>
        <w:t>DE DOS MIL DIECI</w:t>
      </w:r>
      <w:r w:rsidR="00714978">
        <w:rPr>
          <w:rFonts w:ascii="Palatino Linotype" w:hAnsi="Palatino Linotype" w:cs="Arial"/>
          <w:b/>
        </w:rPr>
        <w:t>NUEVE</w:t>
      </w:r>
      <w:r w:rsidRPr="0007653D">
        <w:rPr>
          <w:rFonts w:ascii="Palatino Linotype" w:hAnsi="Palatino Linotype" w:cs="Arial"/>
          <w:b/>
        </w:rPr>
        <w:t>, EN EL RECURSO DE REVISIÓN 0</w:t>
      </w:r>
      <w:r w:rsidR="00714978">
        <w:rPr>
          <w:rFonts w:ascii="Palatino Linotype" w:hAnsi="Palatino Linotype" w:cs="Arial"/>
          <w:b/>
        </w:rPr>
        <w:t>0079/INFOEM/IP/RR/2019</w:t>
      </w:r>
      <w:r w:rsidRPr="00E42755">
        <w:rPr>
          <w:rFonts w:ascii="Palatino Linotype" w:eastAsia="Calibri" w:hAnsi="Palatino Linotype" w:cs="Arial"/>
          <w:b/>
          <w:color w:val="000000"/>
        </w:rPr>
        <w:t>.</w:t>
      </w:r>
    </w:p>
    <w:p w:rsidR="00D66221" w:rsidRPr="00E42755" w:rsidRDefault="00D66221" w:rsidP="00D66221">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 xml:space="preserve">respecto de la resolución dictada en el recurso de revisión </w:t>
      </w:r>
      <w:r w:rsidRPr="00E42755">
        <w:rPr>
          <w:rFonts w:ascii="Palatino Linotype" w:eastAsia="Calibri" w:hAnsi="Palatino Linotype" w:cs="Arial"/>
          <w:b/>
          <w:color w:val="000000"/>
        </w:rPr>
        <w:t>0</w:t>
      </w:r>
      <w:r w:rsidR="00714978">
        <w:rPr>
          <w:rFonts w:ascii="Palatino Linotype" w:eastAsia="Calibri" w:hAnsi="Palatino Linotype" w:cs="Arial"/>
          <w:b/>
          <w:color w:val="000000"/>
        </w:rPr>
        <w:t>0079</w:t>
      </w:r>
      <w:r>
        <w:rPr>
          <w:rFonts w:ascii="Palatino Linotype" w:eastAsia="Calibri" w:hAnsi="Palatino Linotype" w:cs="Arial"/>
          <w:b/>
          <w:color w:val="000000"/>
        </w:rPr>
        <w:t>/</w:t>
      </w:r>
      <w:r w:rsidRPr="00E42755">
        <w:rPr>
          <w:rFonts w:ascii="Palatino Linotype" w:eastAsia="Calibri" w:hAnsi="Palatino Linotype" w:cs="Arial"/>
          <w:b/>
          <w:color w:val="000000"/>
        </w:rPr>
        <w:t>INFOEM/IP/RR/201</w:t>
      </w:r>
      <w:r w:rsidR="00714978">
        <w:rPr>
          <w:rFonts w:ascii="Palatino Linotype" w:eastAsia="Calibri" w:hAnsi="Palatino Linotype" w:cs="Arial"/>
          <w:b/>
          <w:color w:val="000000"/>
        </w:rPr>
        <w:t>9</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sidR="00714978">
        <w:rPr>
          <w:rFonts w:ascii="Palatino Linotype" w:hAnsi="Palatino Linotype" w:cs="Arial"/>
          <w:b/>
        </w:rPr>
        <w:t>JAVIER MARTÍNEZ CRUZ</w:t>
      </w:r>
      <w:r w:rsidRPr="0007653D">
        <w:rPr>
          <w:rFonts w:ascii="Palatino Linotype" w:hAnsi="Palatino Linotype" w:cs="Arial"/>
        </w:rPr>
        <w:t xml:space="preserve">, </w:t>
      </w:r>
      <w:r>
        <w:rPr>
          <w:rFonts w:ascii="Palatino Linotype" w:hAnsi="Palatino Linotype" w:cs="Arial"/>
        </w:rPr>
        <w:t>que es del tenor siguiente.</w:t>
      </w:r>
    </w:p>
    <w:p w:rsidR="00D66221" w:rsidRDefault="00D66221" w:rsidP="00D66221">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las causas que dieron origen al recurso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tocante a parte de lo ordenado en la resolución correspondiente.</w:t>
      </w:r>
    </w:p>
    <w:p w:rsidR="00D66221" w:rsidRDefault="00D66221" w:rsidP="00D66221">
      <w:pPr>
        <w:spacing w:before="100" w:beforeAutospacing="1" w:after="100" w:afterAutospacing="1" w:line="360" w:lineRule="auto"/>
        <w:jc w:val="both"/>
        <w:rPr>
          <w:rFonts w:ascii="Palatino Linotype" w:hAnsi="Palatino Linotype"/>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Pr>
          <w:rFonts w:ascii="Palatino Linotype" w:hAnsi="Palatino Linotype"/>
        </w:rPr>
        <w:t>l</w:t>
      </w:r>
      <w:r w:rsidR="00714978">
        <w:rPr>
          <w:rFonts w:ascii="Palatino Linotype" w:hAnsi="Palatino Linotype"/>
        </w:rPr>
        <w:t>a</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 xml:space="preserve">EL SUJETO OBLIGADO, </w:t>
      </w:r>
      <w:r w:rsidR="0078785E">
        <w:rPr>
          <w:rFonts w:ascii="Palatino Linotype" w:hAnsi="Palatino Linotype"/>
        </w:rPr>
        <w:t xml:space="preserve">el </w:t>
      </w:r>
      <w:r w:rsidR="00714978">
        <w:rPr>
          <w:rFonts w:ascii="Palatino Linotype" w:hAnsi="Palatino Linotype"/>
        </w:rPr>
        <w:t xml:space="preserve">listado de personas que han renunciado y </w:t>
      </w:r>
      <w:r w:rsidR="00714978">
        <w:rPr>
          <w:rFonts w:ascii="Palatino Linotype" w:hAnsi="Palatino Linotype"/>
        </w:rPr>
        <w:lastRenderedPageBreak/>
        <w:t>recibido un finiquito desde que la Universidad se creó hasta el día de hoy, señalando los montos pagados</w:t>
      </w:r>
      <w:r w:rsidR="00517DE2">
        <w:rPr>
          <w:rFonts w:ascii="Palatino Linotype" w:hAnsi="Palatino Linotype"/>
        </w:rPr>
        <w:t>.</w:t>
      </w:r>
    </w:p>
    <w:p w:rsidR="00D66221" w:rsidRDefault="00D66221" w:rsidP="00D6622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Del 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en respuesta adjuntó diversos archivos, mismos</w:t>
      </w:r>
      <w:r w:rsidR="00F009D2">
        <w:rPr>
          <w:rFonts w:ascii="Palatino Linotype" w:hAnsi="Palatino Linotype" w:cs="Arial"/>
        </w:rPr>
        <w:t xml:space="preserve"> en los que medularmente informó</w:t>
      </w:r>
      <w:r w:rsidR="00F009D2" w:rsidRPr="00F009D2">
        <w:rPr>
          <w:rFonts w:ascii="Palatino Linotype" w:hAnsi="Palatino Linotype" w:cs="Arial"/>
        </w:rPr>
        <w:t xml:space="preserve"> que dado que esas unidades administrativas fueron constituidas el 19 de abril de 2010, únicamente cuentan con información a partir de esa fecha, </w:t>
      </w:r>
      <w:r w:rsidR="00F009D2">
        <w:rPr>
          <w:rFonts w:ascii="Palatino Linotype" w:hAnsi="Palatino Linotype" w:cs="Arial"/>
        </w:rPr>
        <w:t>misma que fue proporcionada.</w:t>
      </w:r>
    </w:p>
    <w:p w:rsidR="00D66221"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olor w:val="000000"/>
          <w:lang w:val="es-MX" w:eastAsia="es-MX"/>
        </w:rPr>
        <w:t xml:space="preserve">Inconforme con la respuesta proporcionada, </w:t>
      </w:r>
      <w:r>
        <w:rPr>
          <w:rFonts w:ascii="Palatino Linotype" w:hAnsi="Palatino Linotype"/>
          <w:b/>
          <w:color w:val="000000"/>
          <w:lang w:val="es-MX" w:eastAsia="es-MX"/>
        </w:rPr>
        <w:t>EL 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Pr>
          <w:rFonts w:ascii="Palatino Linotype" w:hAnsi="Palatino Linotype" w:cs="Arial"/>
        </w:rPr>
        <w:t>interpuso el recurso de revisión de mérito.</w:t>
      </w:r>
    </w:p>
    <w:p w:rsidR="00F009D2" w:rsidRPr="00447785" w:rsidRDefault="00F009D2" w:rsidP="00D66221">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s="Arial"/>
        </w:rPr>
        <w:t>E</w:t>
      </w:r>
      <w:r w:rsidRPr="005A5106">
        <w:rPr>
          <w:rFonts w:ascii="Palatino Linotype" w:hAnsi="Palatino Linotype" w:cs="Arial"/>
        </w:rPr>
        <w:t>n fecha veinticinco de enero de dos mil diecinueve</w:t>
      </w:r>
      <w:r w:rsidR="00E64FAD">
        <w:rPr>
          <w:rFonts w:ascii="Palatino Linotype" w:hAnsi="Palatino Linotype" w:cs="Arial"/>
        </w:rPr>
        <w:t>,</w:t>
      </w:r>
      <w:r>
        <w:rPr>
          <w:rFonts w:ascii="Palatino Linotype" w:hAnsi="Palatino Linotype" w:cs="Arial"/>
        </w:rPr>
        <w:t xml:space="preserve"> </w:t>
      </w:r>
      <w:r w:rsidRPr="00F009D2">
        <w:rPr>
          <w:rFonts w:ascii="Palatino Linotype" w:hAnsi="Palatino Linotype" w:cs="Arial"/>
          <w:b/>
        </w:rPr>
        <w:t>EL SUJETO OBLIGADO</w:t>
      </w:r>
      <w:r w:rsidRPr="005A5106">
        <w:rPr>
          <w:rFonts w:ascii="Palatino Linotype" w:hAnsi="Palatino Linotype" w:cs="Arial"/>
        </w:rPr>
        <w:t xml:space="preserve"> hizo valer sus manifestaciones adjuntado los archivos electrónicos denominados “INF DE JUST RR 79.pdf” e “INF DE JUST RR 79_2.pdf”</w:t>
      </w:r>
      <w:r>
        <w:rPr>
          <w:rFonts w:ascii="Palatino Linotype" w:hAnsi="Palatino Linotype" w:cs="Arial"/>
        </w:rPr>
        <w:t xml:space="preserve"> en </w:t>
      </w:r>
      <w:r w:rsidRPr="005A5106">
        <w:rPr>
          <w:rFonts w:ascii="Palatino Linotype" w:hAnsi="Palatino Linotype" w:cs="Arial"/>
        </w:rPr>
        <w:t>l</w:t>
      </w:r>
      <w:r>
        <w:rPr>
          <w:rFonts w:ascii="Palatino Linotype" w:hAnsi="Palatino Linotype" w:cs="Arial"/>
        </w:rPr>
        <w:t>os</w:t>
      </w:r>
      <w:r w:rsidRPr="005A5106">
        <w:rPr>
          <w:rFonts w:ascii="Palatino Linotype" w:hAnsi="Palatino Linotype" w:cs="Arial"/>
        </w:rPr>
        <w:t xml:space="preserve"> que medularmente confirm</w:t>
      </w:r>
      <w:r w:rsidR="00E64FAD">
        <w:rPr>
          <w:rFonts w:ascii="Palatino Linotype" w:hAnsi="Palatino Linotype" w:cs="Arial"/>
        </w:rPr>
        <w:t>ó</w:t>
      </w:r>
      <w:r w:rsidRPr="005A5106">
        <w:rPr>
          <w:rFonts w:ascii="Palatino Linotype" w:hAnsi="Palatino Linotype" w:cs="Arial"/>
        </w:rPr>
        <w:t xml:space="preserve"> su respuesta emitida. </w:t>
      </w:r>
    </w:p>
    <w:p w:rsidR="00D66221" w:rsidRDefault="00D66221" w:rsidP="00D6622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 xml:space="preserve">el </w:t>
      </w:r>
      <w:r w:rsidRPr="00A01905">
        <w:rPr>
          <w:rFonts w:ascii="Palatino Linotype" w:hAnsi="Palatino Linotype"/>
        </w:rPr>
        <w:t>expediente electrónico</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Pr>
          <w:rFonts w:ascii="Palatino Linotype" w:hAnsi="Palatino Linotype" w:cs="Arial"/>
          <w:b/>
        </w:rPr>
        <w:t xml:space="preserve">MODIFICAR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ordenar la </w:t>
      </w:r>
      <w:r w:rsidR="00611411">
        <w:rPr>
          <w:rFonts w:ascii="Palatino Linotype" w:hAnsi="Palatino Linotype" w:cs="Arial"/>
        </w:rPr>
        <w:t xml:space="preserve">entrega vía SAIMEX de ser el caso en </w:t>
      </w:r>
      <w:r w:rsidR="00F009D2">
        <w:rPr>
          <w:rFonts w:ascii="Palatino Linotype" w:hAnsi="Palatino Linotype" w:cs="Arial"/>
        </w:rPr>
        <w:t>ve</w:t>
      </w:r>
      <w:r w:rsidR="009923FF">
        <w:rPr>
          <w:rFonts w:ascii="Palatino Linotype" w:hAnsi="Palatino Linotype" w:cs="Arial"/>
        </w:rPr>
        <w:t>rsión pública, por el periodo</w:t>
      </w:r>
      <w:r w:rsidR="00F009D2">
        <w:rPr>
          <w:rFonts w:ascii="Palatino Linotype" w:hAnsi="Palatino Linotype" w:cs="Arial"/>
        </w:rPr>
        <w:t xml:space="preserve"> del trece de noviembre de dos mil seis al dieciocho de abril de dos mil diez, y del uno de enero de dos mil trece al treinta y uno de diciembre de dos mil catorce; el documento o documentos en donde conste lo </w:t>
      </w:r>
      <w:r w:rsidR="00611411">
        <w:rPr>
          <w:rFonts w:ascii="Palatino Linotype" w:hAnsi="Palatino Linotype" w:cs="Arial"/>
        </w:rPr>
        <w:t>siguiente:</w:t>
      </w:r>
    </w:p>
    <w:p w:rsidR="00F009D2" w:rsidRPr="00F009D2" w:rsidRDefault="00F009D2" w:rsidP="00F009D2">
      <w:pPr>
        <w:ind w:left="993" w:right="899"/>
        <w:jc w:val="both"/>
        <w:rPr>
          <w:rStyle w:val="Ttulo2Car"/>
          <w:rFonts w:ascii="Palatino Linotype" w:hAnsi="Palatino Linotype"/>
          <w:i/>
          <w:color w:val="000000" w:themeColor="text1"/>
          <w:sz w:val="22"/>
          <w:szCs w:val="22"/>
        </w:rPr>
      </w:pPr>
      <w:r w:rsidRPr="00F009D2">
        <w:rPr>
          <w:rStyle w:val="Ttulo2Car"/>
          <w:rFonts w:ascii="Palatino Linotype" w:hAnsi="Palatino Linotype"/>
          <w:i/>
          <w:color w:val="000000" w:themeColor="text1"/>
          <w:sz w:val="22"/>
          <w:szCs w:val="22"/>
        </w:rPr>
        <w:t>1.</w:t>
      </w:r>
      <w:r w:rsidRPr="00F009D2">
        <w:rPr>
          <w:rStyle w:val="Ttulo2Car"/>
          <w:rFonts w:ascii="Palatino Linotype" w:hAnsi="Palatino Linotype"/>
          <w:i/>
          <w:color w:val="000000" w:themeColor="text1"/>
          <w:sz w:val="22"/>
          <w:szCs w:val="22"/>
        </w:rPr>
        <w:tab/>
        <w:t>Nombre (s) del personal que ha renunciado y monto de los finiquitos que se han pagado.</w:t>
      </w:r>
    </w:p>
    <w:p w:rsidR="00F009D2" w:rsidRPr="00F009D2" w:rsidRDefault="00F009D2" w:rsidP="00F009D2">
      <w:pPr>
        <w:ind w:left="993" w:right="899"/>
        <w:jc w:val="both"/>
        <w:rPr>
          <w:rStyle w:val="Ttulo2Car"/>
          <w:rFonts w:ascii="Palatino Linotype" w:hAnsi="Palatino Linotype"/>
          <w:i/>
          <w:color w:val="000000" w:themeColor="text1"/>
          <w:sz w:val="22"/>
          <w:szCs w:val="22"/>
        </w:rPr>
      </w:pPr>
      <w:r w:rsidRPr="00F009D2">
        <w:rPr>
          <w:rStyle w:val="Ttulo2Car"/>
          <w:rFonts w:ascii="Palatino Linotype" w:hAnsi="Palatino Linotype"/>
          <w:i/>
          <w:color w:val="000000" w:themeColor="text1"/>
          <w:sz w:val="22"/>
          <w:szCs w:val="22"/>
        </w:rPr>
        <w:lastRenderedPageBreak/>
        <w:t>De ser el caso, que la información de la cual se ordena su entrega requiera ser entregada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rsidR="00F009D2" w:rsidRPr="00F009D2" w:rsidRDefault="00F009D2" w:rsidP="00F009D2">
      <w:pPr>
        <w:ind w:left="993" w:right="899"/>
        <w:jc w:val="both"/>
        <w:rPr>
          <w:rStyle w:val="Ttulo2Car"/>
          <w:rFonts w:ascii="Palatino Linotype" w:hAnsi="Palatino Linotype"/>
          <w:i/>
          <w:color w:val="000000" w:themeColor="text1"/>
          <w:sz w:val="22"/>
          <w:szCs w:val="22"/>
        </w:rPr>
      </w:pPr>
      <w:r w:rsidRPr="00F009D2">
        <w:rPr>
          <w:rStyle w:val="Ttulo2Car"/>
          <w:rFonts w:ascii="Palatino Linotype" w:hAnsi="Palatino Linotype"/>
          <w:i/>
          <w:color w:val="000000" w:themeColor="text1"/>
          <w:sz w:val="22"/>
          <w:szCs w:val="22"/>
        </w:rPr>
        <w:t>Para el caso, que la información correspondiente a alguno de los años ya no obre en los archivos del Sujeto Obligado, el Comité de Transparencia deberá emitir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611411" w:rsidRPr="00611411" w:rsidRDefault="00F009D2" w:rsidP="00F009D2">
      <w:pPr>
        <w:ind w:left="993" w:right="899"/>
        <w:jc w:val="both"/>
        <w:rPr>
          <w:rStyle w:val="Ttulo2Car"/>
          <w:rFonts w:ascii="Palatino Linotype" w:hAnsi="Palatino Linotype"/>
          <w:i/>
          <w:color w:val="000000" w:themeColor="text1"/>
          <w:sz w:val="22"/>
          <w:szCs w:val="22"/>
        </w:rPr>
      </w:pPr>
      <w:r w:rsidRPr="00F009D2">
        <w:rPr>
          <w:rStyle w:val="Ttulo2Car"/>
          <w:rFonts w:ascii="Palatino Linotype" w:hAnsi="Palatino Linotype"/>
          <w:i/>
          <w:color w:val="000000" w:themeColor="text1"/>
          <w:sz w:val="22"/>
          <w:szCs w:val="22"/>
        </w:rPr>
        <w:t>En el supuesto, que la información relativa al año 2014 no se haya generado por no haberse presentado alguna renuncia bastará con que se haga del conocimiento del particular.</w:t>
      </w:r>
    </w:p>
    <w:p w:rsidR="00D66221" w:rsidRDefault="00D66221" w:rsidP="00D66221">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n ese sentido, la que suscribe reitera, que si bien coincide en</w:t>
      </w:r>
      <w:r>
        <w:rPr>
          <w:rFonts w:ascii="Palatino Linotype" w:hAnsi="Palatino Linotype" w:cs="Arial"/>
          <w:lang w:val="es-MX"/>
        </w:rPr>
        <w:t xml:space="preserve"> con las causas que dieron origen al recurso de revisión de mérito,</w:t>
      </w:r>
      <w:r w:rsidRPr="004F3DBF">
        <w:rPr>
          <w:rFonts w:ascii="Palatino Linotype" w:hAnsi="Palatino Linotype" w:cs="Arial"/>
          <w:lang w:val="es-MX"/>
        </w:rPr>
        <w:t xml:space="preserve"> difiero respecto </w:t>
      </w:r>
      <w:r>
        <w:rPr>
          <w:rFonts w:ascii="Palatino Linotype" w:hAnsi="Palatino Linotype" w:cs="Arial"/>
          <w:lang w:val="es-MX"/>
        </w:rPr>
        <w:t xml:space="preserve">a parte del análisis y respecto de la temporalidad que se ordena </w:t>
      </w:r>
      <w:r w:rsidR="00F009D2">
        <w:rPr>
          <w:rFonts w:ascii="Palatino Linotype" w:hAnsi="Palatino Linotype" w:cs="Arial"/>
          <w:lang w:val="es-MX"/>
        </w:rPr>
        <w:t xml:space="preserve">en </w:t>
      </w:r>
      <w:r>
        <w:rPr>
          <w:rFonts w:ascii="Palatino Linotype" w:hAnsi="Palatino Linotype" w:cs="Arial"/>
          <w:lang w:val="es-MX"/>
        </w:rPr>
        <w:t>el Resolutivo SEGUNDO de la resolución en comento.</w:t>
      </w:r>
    </w:p>
    <w:p w:rsidR="00D66221" w:rsidRPr="00F009D2" w:rsidRDefault="00F009D2" w:rsidP="00D66221">
      <w:pPr>
        <w:spacing w:before="100" w:beforeAutospacing="1" w:after="100" w:afterAutospacing="1" w:line="360" w:lineRule="auto"/>
        <w:jc w:val="both"/>
        <w:rPr>
          <w:rFonts w:ascii="Palatino Linotype" w:eastAsia="Arial Unicode MS" w:hAnsi="Palatino Linotype" w:cs="Arial Unicode MS"/>
          <w:i/>
          <w:color w:val="000000"/>
          <w:spacing w:val="4"/>
          <w:sz w:val="22"/>
          <w:szCs w:val="22"/>
        </w:rPr>
      </w:pPr>
      <w:r>
        <w:rPr>
          <w:rFonts w:ascii="Palatino Linotype" w:hAnsi="Palatino Linotype" w:cs="Arial"/>
          <w:lang w:val="es-MX"/>
        </w:rPr>
        <w:t xml:space="preserve">Lo anterior es así, ya que </w:t>
      </w:r>
      <w:r w:rsidR="00D66221">
        <w:rPr>
          <w:rFonts w:ascii="Palatino Linotype" w:hAnsi="Palatino Linotype" w:cs="Arial"/>
          <w:lang w:val="es-MX"/>
        </w:rPr>
        <w:t>l</w:t>
      </w:r>
      <w:r>
        <w:rPr>
          <w:rFonts w:ascii="Palatino Linotype" w:hAnsi="Palatino Linotype" w:cs="Arial"/>
          <w:lang w:val="es-MX"/>
        </w:rPr>
        <w:t>a</w:t>
      </w:r>
      <w:r w:rsidR="00D66221">
        <w:rPr>
          <w:rFonts w:ascii="Palatino Linotype" w:hAnsi="Palatino Linotype" w:cs="Arial"/>
          <w:lang w:val="es-MX"/>
        </w:rPr>
        <w:t xml:space="preserve"> particular no precisó en su solicitud de información la temporalidad respecto de la cual requería la in</w:t>
      </w:r>
      <w:r>
        <w:rPr>
          <w:rFonts w:ascii="Palatino Linotype" w:hAnsi="Palatino Linotype" w:cs="Arial"/>
          <w:lang w:val="es-MX"/>
        </w:rPr>
        <w:t xml:space="preserve">formación; por lo que, si bien </w:t>
      </w:r>
      <w:r w:rsidR="00D66221">
        <w:rPr>
          <w:rFonts w:ascii="Palatino Linotype" w:hAnsi="Palatino Linotype" w:cs="Arial"/>
          <w:lang w:val="es-MX"/>
        </w:rPr>
        <w:t>l</w:t>
      </w:r>
      <w:r>
        <w:rPr>
          <w:rFonts w:ascii="Palatino Linotype" w:hAnsi="Palatino Linotype" w:cs="Arial"/>
          <w:lang w:val="es-MX"/>
        </w:rPr>
        <w:t>a</w:t>
      </w:r>
      <w:r w:rsidR="00D66221">
        <w:rPr>
          <w:rFonts w:ascii="Palatino Linotype" w:hAnsi="Palatino Linotype" w:cs="Arial"/>
          <w:lang w:val="es-MX"/>
        </w:rPr>
        <w:t xml:space="preserve"> hoy </w:t>
      </w:r>
      <w:r w:rsidR="00D66221">
        <w:rPr>
          <w:rFonts w:ascii="Palatino Linotype" w:hAnsi="Palatino Linotype" w:cs="Arial"/>
          <w:b/>
          <w:lang w:val="es-MX"/>
        </w:rPr>
        <w:t xml:space="preserve">RECURRENTE </w:t>
      </w:r>
      <w:r w:rsidR="00D66221">
        <w:rPr>
          <w:rFonts w:ascii="Palatino Linotype" w:hAnsi="Palatino Linotype"/>
        </w:rPr>
        <w:t xml:space="preserve">manifestó que </w:t>
      </w:r>
      <w:r>
        <w:rPr>
          <w:rFonts w:ascii="Palatino Linotype" w:hAnsi="Palatino Linotype"/>
        </w:rPr>
        <w:t>solicitaba</w:t>
      </w:r>
      <w:r w:rsidR="00D66221">
        <w:rPr>
          <w:rFonts w:ascii="Palatino Linotype" w:hAnsi="Palatino Linotype"/>
        </w:rPr>
        <w:t xml:space="preserve"> </w:t>
      </w:r>
      <w:r>
        <w:rPr>
          <w:rFonts w:ascii="Palatino Linotype" w:hAnsi="Palatino Linotype"/>
        </w:rPr>
        <w:t>la información “</w:t>
      </w:r>
      <w:r w:rsidRPr="00F009D2">
        <w:rPr>
          <w:rFonts w:ascii="Palatino Linotype" w:hAnsi="Palatino Linotype"/>
          <w:i/>
        </w:rPr>
        <w:t>desde que la Universidad</w:t>
      </w:r>
      <w:r>
        <w:rPr>
          <w:rFonts w:ascii="Palatino Linotype" w:hAnsi="Palatino Linotype"/>
          <w:i/>
        </w:rPr>
        <w:t xml:space="preserve"> fue creada”</w:t>
      </w:r>
      <w:r w:rsidR="00D66221">
        <w:rPr>
          <w:rFonts w:ascii="Palatino Linotype" w:hAnsi="Palatino Linotype"/>
        </w:rPr>
        <w:t xml:space="preserve">, es que la suscrita considera que la Ponencia </w:t>
      </w:r>
      <w:proofErr w:type="spellStart"/>
      <w:r w:rsidR="00D66221">
        <w:rPr>
          <w:rFonts w:ascii="Palatino Linotype" w:hAnsi="Palatino Linotype"/>
        </w:rPr>
        <w:t>Resolutora</w:t>
      </w:r>
      <w:proofErr w:type="spellEnd"/>
      <w:r w:rsidR="00D66221">
        <w:rPr>
          <w:rFonts w:ascii="Palatino Linotype" w:hAnsi="Palatino Linotype"/>
        </w:rPr>
        <w:t xml:space="preserve"> debió suplir </w:t>
      </w:r>
      <w:r w:rsidR="00D66221">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sidR="00D66221">
        <w:rPr>
          <w:rFonts w:ascii="Palatino Linotype" w:hAnsi="Palatino Linotype"/>
        </w:rPr>
        <w:t xml:space="preserve">resultando importante precisar que el Decreto de creación del </w:t>
      </w:r>
      <w:r w:rsidR="00D66221">
        <w:rPr>
          <w:rFonts w:ascii="Palatino Linotype" w:hAnsi="Palatino Linotype"/>
          <w:b/>
        </w:rPr>
        <w:t xml:space="preserve">SUJETO OBLIGADO </w:t>
      </w:r>
      <w:r w:rsidR="00D66221">
        <w:rPr>
          <w:rFonts w:ascii="Palatino Linotype" w:hAnsi="Palatino Linotype"/>
        </w:rPr>
        <w:t xml:space="preserve">fue publicado en fecha </w:t>
      </w:r>
      <w:r w:rsidR="00D66221">
        <w:rPr>
          <w:rFonts w:ascii="Palatino Linotype" w:hAnsi="Palatino Linotype"/>
          <w:b/>
        </w:rPr>
        <w:t>13 de noviembre de 2006,</w:t>
      </w:r>
      <w:r w:rsidR="00D66221">
        <w:rPr>
          <w:rFonts w:ascii="Palatino Linotype" w:hAnsi="Palatino Linotype"/>
        </w:rPr>
        <w:t xml:space="preserve"> en el Periódico Oficial “Gaceta del Gobierno”; sin embargo, el Plan de </w:t>
      </w:r>
      <w:r w:rsidR="00D66221">
        <w:rPr>
          <w:rFonts w:ascii="Palatino Linotype" w:hAnsi="Palatino Linotype"/>
        </w:rPr>
        <w:lastRenderedPageBreak/>
        <w:t xml:space="preserve">Desarrollo Institucional 2012-2017 del propio </w:t>
      </w:r>
      <w:r w:rsidR="00D66221">
        <w:rPr>
          <w:rFonts w:ascii="Palatino Linotype" w:hAnsi="Palatino Linotype"/>
          <w:b/>
        </w:rPr>
        <w:t xml:space="preserve">SUJETO OBLIGADO </w:t>
      </w:r>
      <w:r w:rsidR="00D66221">
        <w:rPr>
          <w:rFonts w:ascii="Palatino Linotype" w:hAnsi="Palatino Linotype"/>
        </w:rPr>
        <w:t xml:space="preserve">publicado en </w:t>
      </w:r>
      <w:r w:rsidR="00D66221">
        <w:rPr>
          <w:rFonts w:ascii="Palatino Linotype" w:hAnsi="Palatino Linotype"/>
          <w:b/>
        </w:rPr>
        <w:t>febrero de 2012</w:t>
      </w:r>
      <w:r w:rsidR="00D66221">
        <w:rPr>
          <w:rFonts w:ascii="Palatino Linotype" w:hAnsi="Palatino Linotype"/>
        </w:rPr>
        <w:t xml:space="preserve">, señala que la </w:t>
      </w:r>
      <w:r w:rsidR="00D66221">
        <w:rPr>
          <w:rFonts w:ascii="Palatino Linotype" w:hAnsi="Palatino Linotype"/>
          <w:b/>
        </w:rPr>
        <w:t>Universidad Politécnica del Valle de Toluca inició sus operaciones el 11 de septiembre de 2006</w:t>
      </w:r>
      <w:r w:rsidR="00D66221">
        <w:rPr>
          <w:rFonts w:ascii="Palatino Linotype" w:hAnsi="Palatino Linotype"/>
        </w:rPr>
        <w:t>, con una oferta educativa inicial de diversos programas, por lo que la entrega de información debe comprender desde dicha fecha; sirven de sustento, las siguientes imágenes ilustrativas:</w:t>
      </w:r>
    </w:p>
    <w:p w:rsidR="00D66221" w:rsidRDefault="00D66221" w:rsidP="00D66221">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drawing>
          <wp:inline distT="0" distB="0" distL="0" distR="0" wp14:anchorId="6D98D7BC" wp14:editId="1B992915">
            <wp:extent cx="5503545" cy="5270739"/>
            <wp:effectExtent l="19050" t="19050" r="20955"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7250" cy="5303018"/>
                    </a:xfrm>
                    <a:prstGeom prst="rect">
                      <a:avLst/>
                    </a:prstGeom>
                    <a:noFill/>
                    <a:ln w="9525" cmpd="sng">
                      <a:solidFill>
                        <a:srgbClr val="000000"/>
                      </a:solidFill>
                      <a:miter lim="800000"/>
                      <a:headEnd/>
                      <a:tailEnd/>
                    </a:ln>
                    <a:effectLst/>
                  </pic:spPr>
                </pic:pic>
              </a:graphicData>
            </a:graphic>
          </wp:inline>
        </w:drawing>
      </w:r>
    </w:p>
    <w:p w:rsidR="00D66221" w:rsidRDefault="00D66221" w:rsidP="00D66221">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5DC9BFC0" wp14:editId="1FCE20A3">
            <wp:extent cx="5283200" cy="6926422"/>
            <wp:effectExtent l="19050" t="19050" r="1270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050" cy="6931469"/>
                    </a:xfrm>
                    <a:prstGeom prst="rect">
                      <a:avLst/>
                    </a:prstGeom>
                    <a:noFill/>
                    <a:ln w="9525" cmpd="sng">
                      <a:solidFill>
                        <a:srgbClr val="000000"/>
                      </a:solidFill>
                      <a:miter lim="800000"/>
                      <a:headEnd/>
                      <a:tailEnd/>
                    </a:ln>
                    <a:effectLst/>
                  </pic:spPr>
                </pic:pic>
              </a:graphicData>
            </a:graphic>
          </wp:inline>
        </w:drawing>
      </w:r>
    </w:p>
    <w:p w:rsidR="00D66221" w:rsidRPr="003A25B5"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Por lo que, a criterio de</w:t>
      </w:r>
      <w:r w:rsidRPr="009F03BA">
        <w:rPr>
          <w:rFonts w:ascii="Palatino Linotype" w:hAnsi="Palatino Linotype" w:cs="Arial"/>
        </w:rPr>
        <w:t xml:space="preserve"> </w:t>
      </w:r>
      <w:r>
        <w:rPr>
          <w:rFonts w:ascii="Palatino Linotype" w:hAnsi="Palatino Linotype" w:cs="Arial"/>
        </w:rPr>
        <w:t xml:space="preserve">la suscrita la Ponencia </w:t>
      </w:r>
      <w:proofErr w:type="spellStart"/>
      <w:r>
        <w:rPr>
          <w:rFonts w:ascii="Palatino Linotype" w:hAnsi="Palatino Linotype" w:cs="Arial"/>
        </w:rPr>
        <w:t>Resolutora</w:t>
      </w:r>
      <w:proofErr w:type="spellEnd"/>
      <w:r>
        <w:rPr>
          <w:rFonts w:ascii="Palatino Linotype" w:hAnsi="Palatino Linotype" w:cs="Arial"/>
        </w:rPr>
        <w:t xml:space="preserve"> debió</w:t>
      </w:r>
      <w:r w:rsidRPr="009F03BA">
        <w:rPr>
          <w:rFonts w:ascii="Palatino Linotype" w:hAnsi="Palatino Linotype" w:cs="Arial"/>
        </w:rPr>
        <w:t xml:space="preserve"> en</w:t>
      </w:r>
      <w:r>
        <w:rPr>
          <w:rFonts w:ascii="Palatino Linotype" w:hAnsi="Palatino Linotype" w:cs="Arial"/>
        </w:rPr>
        <w:t xml:space="preserve"> cumplimiento a los principios de</w:t>
      </w:r>
      <w:r w:rsidRPr="009C5FF5">
        <w:rPr>
          <w:rFonts w:ascii="Palatino Linotype" w:hAnsi="Palatino Linotype" w:cs="Arial"/>
        </w:rPr>
        <w:t xml:space="preserve"> máxima publicidad</w:t>
      </w:r>
      <w:r>
        <w:rPr>
          <w:rFonts w:ascii="Palatino Linotype" w:hAnsi="Palatino Linotype" w:cs="Arial"/>
        </w:rPr>
        <w:t>,</w:t>
      </w:r>
      <w:r w:rsidRPr="009C5FF5">
        <w:rPr>
          <w:rFonts w:ascii="Palatino Linotype" w:hAnsi="Palatino Linotype" w:cs="Arial"/>
        </w:rPr>
        <w:t xml:space="preserve"> </w:t>
      </w:r>
      <w:r>
        <w:rPr>
          <w:rFonts w:ascii="Palatino Linotype" w:hAnsi="Palatino Linotype" w:cs="Arial"/>
        </w:rPr>
        <w:t>exhaustividad y congruencia determinar que la temporalidad de entrega de la información ordenada en el Resolutivo SEGUNDO correspondería del 11 de septiembre de 2006 al 1</w:t>
      </w:r>
      <w:r w:rsidR="00F009D2">
        <w:rPr>
          <w:rFonts w:ascii="Palatino Linotype" w:hAnsi="Palatino Linotype" w:cs="Arial"/>
        </w:rPr>
        <w:t>8</w:t>
      </w:r>
      <w:r>
        <w:rPr>
          <w:rFonts w:ascii="Palatino Linotype" w:hAnsi="Palatino Linotype" w:cs="Arial"/>
        </w:rPr>
        <w:t xml:space="preserve"> de </w:t>
      </w:r>
      <w:r w:rsidR="00F009D2">
        <w:rPr>
          <w:rFonts w:ascii="Palatino Linotype" w:hAnsi="Palatino Linotype" w:cs="Arial"/>
        </w:rPr>
        <w:t xml:space="preserve">abril </w:t>
      </w:r>
      <w:r>
        <w:rPr>
          <w:rFonts w:ascii="Palatino Linotype" w:hAnsi="Palatino Linotype" w:cs="Arial"/>
        </w:rPr>
        <w:t>de 201</w:t>
      </w:r>
      <w:r w:rsidR="00F009D2">
        <w:rPr>
          <w:rFonts w:ascii="Palatino Linotype" w:hAnsi="Palatino Linotype" w:cs="Arial"/>
        </w:rPr>
        <w:t>0</w:t>
      </w:r>
      <w:r>
        <w:rPr>
          <w:rFonts w:ascii="Palatino Linotype" w:hAnsi="Palatino Linotype" w:cs="Arial"/>
        </w:rPr>
        <w:t>, ello a fin de garantizar la máxima publicidad y que exista concordancia entre el requerimiento form</w:t>
      </w:r>
      <w:r w:rsidR="00F009D2">
        <w:rPr>
          <w:rFonts w:ascii="Palatino Linotype" w:hAnsi="Palatino Linotype" w:cs="Arial"/>
        </w:rPr>
        <w:t xml:space="preserve">ulado por </w:t>
      </w:r>
      <w:r>
        <w:rPr>
          <w:rFonts w:ascii="Palatino Linotype" w:hAnsi="Palatino Linotype" w:cs="Arial"/>
        </w:rPr>
        <w:t>l</w:t>
      </w:r>
      <w:r w:rsidR="00F009D2">
        <w:rPr>
          <w:rFonts w:ascii="Palatino Linotype" w:hAnsi="Palatino Linotype" w:cs="Arial"/>
        </w:rPr>
        <w:t>a</w:t>
      </w:r>
      <w:r>
        <w:rPr>
          <w:rFonts w:ascii="Palatino Linotype" w:hAnsi="Palatino Linotype" w:cs="Arial"/>
        </w:rPr>
        <w:t xml:space="preserve"> particular y lo que se determina ordenar al </w:t>
      </w:r>
      <w:r>
        <w:rPr>
          <w:rFonts w:ascii="Palatino Linotype" w:hAnsi="Palatino Linotype" w:cs="Arial"/>
          <w:b/>
        </w:rPr>
        <w:t xml:space="preserve">SUJETO OBLIGADO </w:t>
      </w:r>
      <w:r>
        <w:rPr>
          <w:rFonts w:ascii="Palatino Linotype" w:hAnsi="Palatino Linotype" w:cs="Arial"/>
        </w:rPr>
        <w:t>haga entrega.</w:t>
      </w:r>
    </w:p>
    <w:p w:rsidR="00D66221" w:rsidRDefault="00D66221" w:rsidP="00D66221">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D66221" w:rsidRPr="00D621C2" w:rsidRDefault="00D66221" w:rsidP="00D66221">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A42D66" w:rsidRDefault="00A42D66" w:rsidP="00D66221">
      <w:pPr>
        <w:ind w:left="851" w:right="899"/>
        <w:jc w:val="both"/>
        <w:rPr>
          <w:rFonts w:ascii="Palatino Linotype" w:hAnsi="Palatino Linotype" w:cs="Arial"/>
          <w:bCs/>
          <w:i/>
          <w:sz w:val="22"/>
        </w:rPr>
      </w:pPr>
    </w:p>
    <w:p w:rsidR="00D66221" w:rsidRDefault="00D66221" w:rsidP="00D66221">
      <w:pPr>
        <w:ind w:left="851" w:right="899"/>
        <w:jc w:val="both"/>
        <w:rPr>
          <w:rFonts w:ascii="Palatino Linotype" w:hAnsi="Palatino Linotype" w:cs="Arial"/>
          <w:b/>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w:t>
      </w:r>
      <w:r w:rsidRPr="006807DD">
        <w:rPr>
          <w:rFonts w:ascii="Palatino Linotype" w:hAnsi="Palatino Linotype" w:cs="Arial"/>
          <w:bCs/>
          <w:i/>
          <w:sz w:val="22"/>
        </w:rPr>
        <w:lastRenderedPageBreak/>
        <w:t>1419/16. Secretaría de Educación Pública. 14 de septiembre de 2016. Por</w:t>
      </w:r>
      <w:r>
        <w:rPr>
          <w:rFonts w:ascii="Palatino Linotype" w:hAnsi="Palatino Linotype" w:cs="Arial"/>
          <w:bCs/>
          <w:i/>
          <w:sz w:val="22"/>
        </w:rPr>
        <w:t xml:space="preserve"> </w:t>
      </w:r>
      <w:r w:rsidRPr="006807DD">
        <w:rPr>
          <w:rFonts w:ascii="Palatino Linotype" w:hAnsi="Palatino Linotype" w:cs="Arial"/>
          <w:bCs/>
          <w:i/>
          <w:sz w:val="22"/>
        </w:rPr>
        <w:t xml:space="preserve">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rsidR="00D66221" w:rsidRDefault="00D66221" w:rsidP="00D66221">
      <w:pPr>
        <w:ind w:left="851" w:right="902"/>
        <w:jc w:val="both"/>
        <w:rPr>
          <w:rFonts w:ascii="Palatino Linotype" w:hAnsi="Palatino Linotype" w:cs="Arial"/>
          <w:bCs/>
          <w:i/>
          <w:sz w:val="22"/>
          <w:lang w:val="es-MX"/>
        </w:rPr>
      </w:pPr>
      <w:r>
        <w:rPr>
          <w:rFonts w:ascii="Palatino Linotype" w:hAnsi="Palatino Linotype" w:cs="Arial"/>
          <w:bCs/>
          <w:i/>
          <w:sz w:val="22"/>
        </w:rPr>
        <w:t xml:space="preserve">Época: Décima Época </w:t>
      </w:r>
      <w:proofErr w:type="gramStart"/>
      <w:r>
        <w:rPr>
          <w:rFonts w:ascii="Palatino Linotype" w:hAnsi="Palatino Linotype" w:cs="Arial"/>
          <w:bCs/>
          <w:i/>
          <w:sz w:val="22"/>
        </w:rPr>
        <w:t>“</w:t>
      </w:r>
      <w:r w:rsidR="00A42D66">
        <w:rPr>
          <w:rFonts w:ascii="Palatino Linotype" w:hAnsi="Palatino Linotype" w:cs="Arial"/>
          <w:bCs/>
          <w:i/>
          <w:sz w:val="22"/>
        </w:rPr>
        <w:t xml:space="preserve"> (</w:t>
      </w:r>
      <w:proofErr w:type="gramEnd"/>
      <w:r w:rsidR="00A42D66">
        <w:rPr>
          <w:rFonts w:ascii="Palatino Linotype" w:hAnsi="Palatino Linotype" w:cs="Arial"/>
          <w:bCs/>
          <w:i/>
          <w:sz w:val="22"/>
        </w:rPr>
        <w:t>Sic)</w:t>
      </w:r>
    </w:p>
    <w:p w:rsidR="00D66221"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pues se insiste en que lo procedente en relación con el Resolutivo SEGUNDO era que tanto en estudio como en resolutivos se precisara la temporalidad respecto de la cual se debería entregar la información, siendo esta del 11 de septie</w:t>
      </w:r>
      <w:r w:rsidR="00F009D2">
        <w:rPr>
          <w:rFonts w:ascii="Palatino Linotype" w:hAnsi="Palatino Linotype" w:cs="Arial"/>
        </w:rPr>
        <w:t>mbre de 2006 al 18</w:t>
      </w:r>
      <w:r>
        <w:rPr>
          <w:rFonts w:ascii="Palatino Linotype" w:hAnsi="Palatino Linotype" w:cs="Arial"/>
        </w:rPr>
        <w:t xml:space="preserve"> de </w:t>
      </w:r>
      <w:r w:rsidR="00F009D2">
        <w:rPr>
          <w:rFonts w:ascii="Palatino Linotype" w:hAnsi="Palatino Linotype" w:cs="Arial"/>
        </w:rPr>
        <w:t>abril de 2010</w:t>
      </w:r>
      <w:r>
        <w:rPr>
          <w:rFonts w:ascii="Palatino Linotype" w:hAnsi="Palatino Linotype" w:cs="Arial"/>
        </w:rPr>
        <w:t>, ello en atención a</w:t>
      </w:r>
      <w:r w:rsidR="00517DE2">
        <w:rPr>
          <w:rFonts w:ascii="Palatino Linotype" w:hAnsi="Palatino Linotype" w:cs="Arial"/>
        </w:rPr>
        <w:t xml:space="preserve"> </w:t>
      </w:r>
      <w:r>
        <w:rPr>
          <w:rFonts w:ascii="Palatino Linotype" w:hAnsi="Palatino Linotype" w:cs="Arial"/>
        </w:rPr>
        <w:t>l</w:t>
      </w:r>
      <w:r w:rsidR="00517DE2">
        <w:rPr>
          <w:rFonts w:ascii="Palatino Linotype" w:hAnsi="Palatino Linotype" w:cs="Arial"/>
        </w:rPr>
        <w:t>os</w:t>
      </w:r>
      <w:r>
        <w:rPr>
          <w:rFonts w:ascii="Palatino Linotype" w:hAnsi="Palatino Linotype" w:cs="Arial"/>
        </w:rPr>
        <w:t xml:space="preserve"> principio</w:t>
      </w:r>
      <w:r w:rsidR="00517DE2">
        <w:rPr>
          <w:rFonts w:ascii="Palatino Linotype" w:hAnsi="Palatino Linotype" w:cs="Arial"/>
        </w:rPr>
        <w:t>s de máxima publicidad, exhaustividad y congruencia.</w:t>
      </w:r>
    </w:p>
    <w:p w:rsidR="00A42D66" w:rsidRDefault="00A42D66" w:rsidP="00D66221">
      <w:pPr>
        <w:spacing w:before="100" w:beforeAutospacing="1" w:after="100" w:afterAutospacing="1" w:line="360" w:lineRule="auto"/>
        <w:jc w:val="both"/>
        <w:rPr>
          <w:rFonts w:ascii="Palatino Linotype" w:hAnsi="Palatino Linotype" w:cs="Arial"/>
        </w:rPr>
      </w:pPr>
    </w:p>
    <w:p w:rsidR="00A42D66" w:rsidRDefault="00A42D66" w:rsidP="00D66221">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D66221" w:rsidRPr="001950C9" w:rsidTr="00714978">
        <w:trPr>
          <w:jc w:val="center"/>
        </w:trPr>
        <w:tc>
          <w:tcPr>
            <w:tcW w:w="4393" w:type="dxa"/>
          </w:tcPr>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bookmarkStart w:id="0" w:name="_GoBack"/>
            <w:bookmarkEnd w:id="0"/>
          </w:p>
          <w:p w:rsidR="00D66221" w:rsidRPr="001950C9" w:rsidRDefault="00D66221" w:rsidP="00714978">
            <w:pPr>
              <w:jc w:val="center"/>
              <w:rPr>
                <w:rFonts w:ascii="Palatino Linotype" w:hAnsi="Palatino Linotype"/>
                <w:b/>
              </w:rPr>
            </w:pPr>
            <w:r w:rsidRPr="001950C9">
              <w:rPr>
                <w:rFonts w:ascii="Palatino Linotype" w:hAnsi="Palatino Linotype"/>
                <w:b/>
              </w:rPr>
              <w:t>EVA ABAID YAPUR</w:t>
            </w:r>
          </w:p>
          <w:p w:rsidR="00F009D2" w:rsidRDefault="00D66221" w:rsidP="003972F6">
            <w:pPr>
              <w:jc w:val="center"/>
              <w:rPr>
                <w:rFonts w:ascii="Palatino Linotype" w:hAnsi="Palatino Linotype"/>
                <w:b/>
              </w:rPr>
            </w:pPr>
            <w:r w:rsidRPr="001950C9">
              <w:rPr>
                <w:rFonts w:ascii="Palatino Linotype" w:hAnsi="Palatino Linotype"/>
                <w:b/>
              </w:rPr>
              <w:t>COMISIONADA</w:t>
            </w:r>
          </w:p>
          <w:p w:rsidR="005D0616" w:rsidRPr="001950C9" w:rsidRDefault="005D0616" w:rsidP="005D0616">
            <w:pPr>
              <w:jc w:val="center"/>
              <w:rPr>
                <w:rFonts w:ascii="Palatino Linotype" w:hAnsi="Palatino Linotype"/>
                <w:b/>
              </w:rPr>
            </w:pPr>
            <w:r>
              <w:rPr>
                <w:rFonts w:ascii="Palatino Linotype" w:hAnsi="Palatino Linotype"/>
                <w:b/>
              </w:rPr>
              <w:t>(RÚBRICA)</w:t>
            </w:r>
          </w:p>
        </w:tc>
      </w:tr>
    </w:tbl>
    <w:p w:rsidR="00D66221" w:rsidRDefault="00D66221" w:rsidP="00D66221">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D66221" w:rsidRDefault="00D66221" w:rsidP="00D66221">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3972F6" w:rsidRDefault="003972F6" w:rsidP="00D66221">
      <w:pPr>
        <w:jc w:val="both"/>
        <w:rPr>
          <w:rFonts w:ascii="Palatino Linotype" w:eastAsia="Calibri" w:hAnsi="Palatino Linotype" w:cs="Arial"/>
          <w:color w:val="000000" w:themeColor="text1"/>
          <w:sz w:val="20"/>
          <w:szCs w:val="20"/>
        </w:rPr>
      </w:pPr>
    </w:p>
    <w:p w:rsidR="00D66221" w:rsidRDefault="00D66221" w:rsidP="00D66221">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w:t>
      </w:r>
      <w:r w:rsidRPr="001950C9">
        <w:rPr>
          <w:rFonts w:ascii="Palatino Linotype" w:eastAsia="Calibri" w:hAnsi="Palatino Linotype" w:cs="Arial"/>
          <w:color w:val="000000" w:themeColor="text1"/>
          <w:sz w:val="20"/>
          <w:szCs w:val="20"/>
        </w:rPr>
        <w:t>el recurso de revisión 0</w:t>
      </w:r>
      <w:r w:rsidR="00F009D2">
        <w:rPr>
          <w:rFonts w:ascii="Palatino Linotype" w:eastAsia="Calibri" w:hAnsi="Palatino Linotype" w:cs="Arial"/>
          <w:color w:val="000000" w:themeColor="text1"/>
          <w:sz w:val="20"/>
          <w:szCs w:val="20"/>
        </w:rPr>
        <w:t>0079</w:t>
      </w:r>
      <w:r w:rsidRPr="001950C9">
        <w:rPr>
          <w:rFonts w:ascii="Palatino Linotype" w:eastAsia="Calibri" w:hAnsi="Palatino Linotype" w:cs="Arial"/>
          <w:color w:val="000000" w:themeColor="text1"/>
          <w:sz w:val="20"/>
          <w:szCs w:val="20"/>
        </w:rPr>
        <w:t>/INFOEM/IP/RR/201</w:t>
      </w:r>
      <w:r w:rsidR="00F009D2">
        <w:rPr>
          <w:rFonts w:ascii="Palatino Linotype" w:eastAsia="Calibri" w:hAnsi="Palatino Linotype" w:cs="Arial"/>
          <w:color w:val="000000" w:themeColor="text1"/>
          <w:sz w:val="20"/>
          <w:szCs w:val="20"/>
        </w:rPr>
        <w:t>9</w:t>
      </w:r>
      <w:r>
        <w:rPr>
          <w:rFonts w:ascii="Palatino Linotype" w:eastAsia="Calibri" w:hAnsi="Palatino Linotype" w:cs="Arial"/>
          <w:color w:val="000000" w:themeColor="text1"/>
          <w:sz w:val="20"/>
          <w:szCs w:val="20"/>
        </w:rPr>
        <w:t>, aprobada</w:t>
      </w:r>
      <w:r w:rsidRPr="001950C9">
        <w:rPr>
          <w:rFonts w:ascii="Palatino Linotype" w:eastAsia="Calibri" w:hAnsi="Palatino Linotype" w:cs="Arial"/>
          <w:color w:val="000000" w:themeColor="text1"/>
          <w:sz w:val="20"/>
          <w:szCs w:val="20"/>
        </w:rPr>
        <w:t xml:space="preserve"> el</w:t>
      </w:r>
      <w:r>
        <w:rPr>
          <w:rFonts w:ascii="Palatino Linotype" w:eastAsia="Calibri" w:hAnsi="Palatino Linotype" w:cs="Arial"/>
          <w:color w:val="000000" w:themeColor="text1"/>
          <w:sz w:val="20"/>
          <w:szCs w:val="20"/>
        </w:rPr>
        <w:t xml:space="preserve"> </w:t>
      </w:r>
      <w:r w:rsidR="00F009D2">
        <w:rPr>
          <w:rFonts w:ascii="Palatino Linotype" w:eastAsia="Calibri" w:hAnsi="Palatino Linotype" w:cs="Arial"/>
          <w:color w:val="000000" w:themeColor="text1"/>
          <w:sz w:val="20"/>
          <w:szCs w:val="20"/>
        </w:rPr>
        <w:t xml:space="preserve">trece </w:t>
      </w:r>
      <w:r w:rsidR="00A42D66">
        <w:rPr>
          <w:rFonts w:ascii="Palatino Linotype" w:eastAsia="Calibri" w:hAnsi="Palatino Linotype" w:cs="Arial"/>
          <w:color w:val="000000" w:themeColor="text1"/>
          <w:sz w:val="20"/>
          <w:szCs w:val="20"/>
        </w:rPr>
        <w:t xml:space="preserve">de </w:t>
      </w:r>
      <w:r w:rsidR="00F009D2">
        <w:rPr>
          <w:rFonts w:ascii="Palatino Linotype" w:eastAsia="Calibri" w:hAnsi="Palatino Linotype" w:cs="Arial"/>
          <w:color w:val="000000" w:themeColor="text1"/>
          <w:sz w:val="20"/>
          <w:szCs w:val="20"/>
        </w:rPr>
        <w:t>febrero de dos mil diecinueve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E243CC" w:rsidRPr="00E243CC" w:rsidRDefault="00E243CC" w:rsidP="00D66221">
      <w:pPr>
        <w:jc w:val="both"/>
        <w:rPr>
          <w:rFonts w:ascii="Palatino Linotype" w:eastAsia="Calibri" w:hAnsi="Palatino Linotype" w:cs="Arial"/>
          <w:color w:val="000000" w:themeColor="text1"/>
          <w:sz w:val="8"/>
          <w:szCs w:val="8"/>
        </w:rPr>
      </w:pPr>
    </w:p>
    <w:p w:rsidR="00D66221" w:rsidRPr="00E243CC" w:rsidRDefault="00F009D2" w:rsidP="00D66221">
      <w:pPr>
        <w:jc w:val="both"/>
        <w:rPr>
          <w:sz w:val="28"/>
        </w:rPr>
      </w:pPr>
      <w:r w:rsidRPr="00E243CC">
        <w:rPr>
          <w:rFonts w:ascii="Palatino Linotype" w:eastAsia="Calibri" w:hAnsi="Palatino Linotype" w:cs="Arial"/>
          <w:color w:val="000000" w:themeColor="text1"/>
          <w:sz w:val="20"/>
          <w:szCs w:val="18"/>
        </w:rPr>
        <w:t>YSM/IAHA</w:t>
      </w:r>
    </w:p>
    <w:sectPr w:rsidR="00D66221" w:rsidRPr="00E243CC" w:rsidSect="00714978">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627" w:rsidRDefault="00145627" w:rsidP="00D66221">
      <w:r>
        <w:separator/>
      </w:r>
    </w:p>
  </w:endnote>
  <w:endnote w:type="continuationSeparator" w:id="0">
    <w:p w:rsidR="00145627" w:rsidRDefault="00145627" w:rsidP="00D6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714978" w:rsidP="00714978">
    <w:pPr>
      <w:pStyle w:val="Piedepgina"/>
      <w:tabs>
        <w:tab w:val="clear" w:pos="4252"/>
        <w:tab w:val="left" w:pos="4228"/>
      </w:tabs>
      <w:rPr>
        <w:rFonts w:ascii="Palatino Linotype" w:hAnsi="Palatino Linotype" w:cs="Arial"/>
        <w:b/>
        <w:bCs/>
        <w:sz w:val="20"/>
        <w:szCs w:val="20"/>
      </w:rPr>
    </w:pPr>
  </w:p>
  <w:p w:rsidR="00A42D66" w:rsidRDefault="00A42D66" w:rsidP="00714978">
    <w:pPr>
      <w:pStyle w:val="Piedepgina"/>
      <w:tabs>
        <w:tab w:val="clear" w:pos="4252"/>
        <w:tab w:val="left" w:pos="4228"/>
      </w:tabs>
      <w:rPr>
        <w:rFonts w:ascii="Palatino Linotype" w:hAnsi="Palatino Linotype" w:cs="Arial"/>
        <w:b/>
        <w:bCs/>
        <w:sz w:val="20"/>
        <w:szCs w:val="20"/>
      </w:rPr>
    </w:pPr>
  </w:p>
  <w:p w:rsidR="00714978" w:rsidRDefault="00714978" w:rsidP="00714978">
    <w:pPr>
      <w:pStyle w:val="Piedepgina"/>
      <w:tabs>
        <w:tab w:val="clear" w:pos="4252"/>
        <w:tab w:val="left" w:pos="4228"/>
      </w:tabs>
      <w:rPr>
        <w:rFonts w:ascii="Palatino Linotype" w:hAnsi="Palatino Linotype" w:cs="Arial"/>
        <w:b/>
        <w:bCs/>
        <w:sz w:val="20"/>
        <w:szCs w:val="20"/>
      </w:rPr>
    </w:pPr>
  </w:p>
  <w:p w:rsidR="00714978" w:rsidRDefault="00714978" w:rsidP="00714978">
    <w:pPr>
      <w:pStyle w:val="Piedepgina"/>
      <w:tabs>
        <w:tab w:val="clear" w:pos="4252"/>
        <w:tab w:val="left" w:pos="4228"/>
      </w:tabs>
      <w:rPr>
        <w:rFonts w:ascii="Palatino Linotype" w:hAnsi="Palatino Linotype" w:cs="Arial"/>
        <w:b/>
        <w:bCs/>
        <w:sz w:val="20"/>
        <w:szCs w:val="20"/>
      </w:rPr>
    </w:pPr>
  </w:p>
  <w:p w:rsidR="00714978" w:rsidRDefault="00714978" w:rsidP="00714978">
    <w:pPr>
      <w:pStyle w:val="Piedepgina"/>
      <w:rPr>
        <w:rFonts w:ascii="Palatino Linotype" w:hAnsi="Palatino Linotype" w:cs="Arial"/>
        <w:b/>
        <w:bCs/>
        <w:sz w:val="20"/>
        <w:szCs w:val="20"/>
      </w:rPr>
    </w:pPr>
  </w:p>
  <w:p w:rsidR="00714978" w:rsidRPr="00F12350" w:rsidRDefault="00E7697B" w:rsidP="00714978">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D0616">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D0616">
      <w:rPr>
        <w:rFonts w:ascii="Palatino Linotype" w:hAnsi="Palatino Linotype" w:cs="Arial"/>
        <w:b/>
        <w:bCs/>
        <w:noProof/>
        <w:sz w:val="20"/>
        <w:szCs w:val="20"/>
      </w:rPr>
      <w:t>7</w:t>
    </w:r>
    <w:r w:rsidRPr="00F12350">
      <w:rPr>
        <w:rFonts w:ascii="Palatino Linotype" w:hAnsi="Palatino Linotype" w:cs="Arial"/>
        <w:b/>
        <w:bCs/>
        <w:sz w:val="20"/>
        <w:szCs w:val="20"/>
      </w:rPr>
      <w:fldChar w:fldCharType="end"/>
    </w:r>
  </w:p>
  <w:p w:rsidR="00714978" w:rsidRDefault="00714978" w:rsidP="0071497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627" w:rsidRDefault="00145627" w:rsidP="00D66221">
      <w:r>
        <w:separator/>
      </w:r>
    </w:p>
  </w:footnote>
  <w:footnote w:type="continuationSeparator" w:id="0">
    <w:p w:rsidR="00145627" w:rsidRDefault="00145627" w:rsidP="00D66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5D061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E7697B" w:rsidP="00714978">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4793BAC1" wp14:editId="09704A18">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714978" w:rsidRDefault="00714978" w:rsidP="00714978">
    <w:pPr>
      <w:pStyle w:val="Encabezado"/>
      <w:tabs>
        <w:tab w:val="clear" w:pos="4252"/>
        <w:tab w:val="clear" w:pos="8504"/>
        <w:tab w:val="left" w:pos="2326"/>
      </w:tabs>
      <w:jc w:val="right"/>
    </w:pPr>
  </w:p>
  <w:p w:rsidR="00714978" w:rsidRDefault="00E7697B" w:rsidP="00714978">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714978" w:rsidRDefault="00E7697B" w:rsidP="00714978">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Pr>
        <w:rFonts w:ascii="Palatino Linotype" w:hAnsi="Palatino Linotype" w:cs="Arial"/>
        <w:sz w:val="20"/>
        <w:szCs w:val="20"/>
      </w:rPr>
      <w:t>0</w:t>
    </w:r>
    <w:r w:rsidR="00714978">
      <w:rPr>
        <w:rFonts w:ascii="Palatino Linotype" w:hAnsi="Palatino Linotype" w:cs="Arial"/>
        <w:sz w:val="20"/>
        <w:szCs w:val="20"/>
      </w:rPr>
      <w:t>0079</w:t>
    </w:r>
    <w:r>
      <w:rPr>
        <w:rFonts w:ascii="Palatino Linotype" w:hAnsi="Palatino Linotype" w:cs="Arial"/>
        <w:sz w:val="20"/>
        <w:szCs w:val="20"/>
      </w:rPr>
      <w:t>/INFOEM/IP</w:t>
    </w:r>
    <w:r w:rsidRPr="00706042">
      <w:rPr>
        <w:rFonts w:ascii="Palatino Linotype" w:hAnsi="Palatino Linotype" w:cs="Arial"/>
        <w:sz w:val="20"/>
        <w:szCs w:val="20"/>
      </w:rPr>
      <w:t>/RR/201</w:t>
    </w:r>
    <w:r w:rsidR="00714978">
      <w:rPr>
        <w:rFonts w:ascii="Palatino Linotype" w:hAnsi="Palatino Linotype" w:cs="Arial"/>
        <w:sz w:val="20"/>
        <w:szCs w:val="20"/>
      </w:rPr>
      <w:t>9</w:t>
    </w:r>
  </w:p>
  <w:p w:rsidR="00714978" w:rsidRDefault="005D0616" w:rsidP="00714978">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84.6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5D061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B142BC"/>
    <w:multiLevelType w:val="hybridMultilevel"/>
    <w:tmpl w:val="F7BC9532"/>
    <w:lvl w:ilvl="0" w:tplc="DF929E6A">
      <w:start w:val="1"/>
      <w:numFmt w:val="lowerLetter"/>
      <w:lvlText w:val="%1)"/>
      <w:lvlJc w:val="left"/>
      <w:pPr>
        <w:ind w:left="5606" w:hanging="360"/>
      </w:pPr>
      <w:rPr>
        <w:rFonts w:eastAsia="Times New Roman" w:hint="default"/>
        <w:color w:val="000000"/>
      </w:rPr>
    </w:lvl>
    <w:lvl w:ilvl="1" w:tplc="080A0019" w:tentative="1">
      <w:start w:val="1"/>
      <w:numFmt w:val="lowerLetter"/>
      <w:lvlText w:val="%2."/>
      <w:lvlJc w:val="left"/>
      <w:pPr>
        <w:ind w:left="6326" w:hanging="360"/>
      </w:pPr>
    </w:lvl>
    <w:lvl w:ilvl="2" w:tplc="080A001B" w:tentative="1">
      <w:start w:val="1"/>
      <w:numFmt w:val="lowerRoman"/>
      <w:lvlText w:val="%3."/>
      <w:lvlJc w:val="right"/>
      <w:pPr>
        <w:ind w:left="7046" w:hanging="180"/>
      </w:pPr>
    </w:lvl>
    <w:lvl w:ilvl="3" w:tplc="080A000F" w:tentative="1">
      <w:start w:val="1"/>
      <w:numFmt w:val="decimal"/>
      <w:lvlText w:val="%4."/>
      <w:lvlJc w:val="left"/>
      <w:pPr>
        <w:ind w:left="7766" w:hanging="360"/>
      </w:pPr>
    </w:lvl>
    <w:lvl w:ilvl="4" w:tplc="080A0019" w:tentative="1">
      <w:start w:val="1"/>
      <w:numFmt w:val="lowerLetter"/>
      <w:lvlText w:val="%5."/>
      <w:lvlJc w:val="left"/>
      <w:pPr>
        <w:ind w:left="8486" w:hanging="360"/>
      </w:pPr>
    </w:lvl>
    <w:lvl w:ilvl="5" w:tplc="080A001B" w:tentative="1">
      <w:start w:val="1"/>
      <w:numFmt w:val="lowerRoman"/>
      <w:lvlText w:val="%6."/>
      <w:lvlJc w:val="right"/>
      <w:pPr>
        <w:ind w:left="9206" w:hanging="180"/>
      </w:pPr>
    </w:lvl>
    <w:lvl w:ilvl="6" w:tplc="080A000F" w:tentative="1">
      <w:start w:val="1"/>
      <w:numFmt w:val="decimal"/>
      <w:lvlText w:val="%7."/>
      <w:lvlJc w:val="left"/>
      <w:pPr>
        <w:ind w:left="9926" w:hanging="360"/>
      </w:pPr>
    </w:lvl>
    <w:lvl w:ilvl="7" w:tplc="080A0019" w:tentative="1">
      <w:start w:val="1"/>
      <w:numFmt w:val="lowerLetter"/>
      <w:lvlText w:val="%8."/>
      <w:lvlJc w:val="left"/>
      <w:pPr>
        <w:ind w:left="10646" w:hanging="360"/>
      </w:pPr>
    </w:lvl>
    <w:lvl w:ilvl="8" w:tplc="080A001B" w:tentative="1">
      <w:start w:val="1"/>
      <w:numFmt w:val="lowerRoman"/>
      <w:lvlText w:val="%9."/>
      <w:lvlJc w:val="right"/>
      <w:pPr>
        <w:ind w:left="11366" w:hanging="180"/>
      </w:pPr>
    </w:lvl>
  </w:abstractNum>
  <w:abstractNum w:abstractNumId="1" w15:restartNumberingAfterBreak="0">
    <w:nsid w:val="7D9E68FC"/>
    <w:multiLevelType w:val="hybridMultilevel"/>
    <w:tmpl w:val="956236E0"/>
    <w:lvl w:ilvl="0" w:tplc="78386808">
      <w:start w:val="1"/>
      <w:numFmt w:val="decimal"/>
      <w:lvlText w:val="%1."/>
      <w:lvlJc w:val="left"/>
      <w:pPr>
        <w:ind w:left="6173" w:hanging="360"/>
      </w:pPr>
      <w:rPr>
        <w:rFonts w:cs="Times New Roman" w:hint="default"/>
        <w:color w:val="000000"/>
        <w:sz w:val="24"/>
      </w:rPr>
    </w:lvl>
    <w:lvl w:ilvl="1" w:tplc="080A0019" w:tentative="1">
      <w:start w:val="1"/>
      <w:numFmt w:val="lowerLetter"/>
      <w:lvlText w:val="%2."/>
      <w:lvlJc w:val="left"/>
      <w:pPr>
        <w:ind w:left="6893" w:hanging="360"/>
      </w:pPr>
    </w:lvl>
    <w:lvl w:ilvl="2" w:tplc="080A001B" w:tentative="1">
      <w:start w:val="1"/>
      <w:numFmt w:val="lowerRoman"/>
      <w:lvlText w:val="%3."/>
      <w:lvlJc w:val="right"/>
      <w:pPr>
        <w:ind w:left="7613" w:hanging="180"/>
      </w:pPr>
    </w:lvl>
    <w:lvl w:ilvl="3" w:tplc="080A000F" w:tentative="1">
      <w:start w:val="1"/>
      <w:numFmt w:val="decimal"/>
      <w:lvlText w:val="%4."/>
      <w:lvlJc w:val="left"/>
      <w:pPr>
        <w:ind w:left="8333" w:hanging="360"/>
      </w:pPr>
    </w:lvl>
    <w:lvl w:ilvl="4" w:tplc="080A0019" w:tentative="1">
      <w:start w:val="1"/>
      <w:numFmt w:val="lowerLetter"/>
      <w:lvlText w:val="%5."/>
      <w:lvlJc w:val="left"/>
      <w:pPr>
        <w:ind w:left="9053" w:hanging="360"/>
      </w:pPr>
    </w:lvl>
    <w:lvl w:ilvl="5" w:tplc="080A001B" w:tentative="1">
      <w:start w:val="1"/>
      <w:numFmt w:val="lowerRoman"/>
      <w:lvlText w:val="%6."/>
      <w:lvlJc w:val="right"/>
      <w:pPr>
        <w:ind w:left="9773" w:hanging="180"/>
      </w:pPr>
    </w:lvl>
    <w:lvl w:ilvl="6" w:tplc="080A000F" w:tentative="1">
      <w:start w:val="1"/>
      <w:numFmt w:val="decimal"/>
      <w:lvlText w:val="%7."/>
      <w:lvlJc w:val="left"/>
      <w:pPr>
        <w:ind w:left="10493" w:hanging="360"/>
      </w:pPr>
    </w:lvl>
    <w:lvl w:ilvl="7" w:tplc="080A0019" w:tentative="1">
      <w:start w:val="1"/>
      <w:numFmt w:val="lowerLetter"/>
      <w:lvlText w:val="%8."/>
      <w:lvlJc w:val="left"/>
      <w:pPr>
        <w:ind w:left="11213" w:hanging="360"/>
      </w:pPr>
    </w:lvl>
    <w:lvl w:ilvl="8" w:tplc="080A001B" w:tentative="1">
      <w:start w:val="1"/>
      <w:numFmt w:val="lowerRoman"/>
      <w:lvlText w:val="%9."/>
      <w:lvlJc w:val="right"/>
      <w:pPr>
        <w:ind w:left="1193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221"/>
    <w:rsid w:val="000A6285"/>
    <w:rsid w:val="00145627"/>
    <w:rsid w:val="0016524B"/>
    <w:rsid w:val="003972F6"/>
    <w:rsid w:val="00443C94"/>
    <w:rsid w:val="00517DE2"/>
    <w:rsid w:val="005D0616"/>
    <w:rsid w:val="00611411"/>
    <w:rsid w:val="006C12C4"/>
    <w:rsid w:val="00714978"/>
    <w:rsid w:val="0078785E"/>
    <w:rsid w:val="0085043C"/>
    <w:rsid w:val="009923FF"/>
    <w:rsid w:val="00A42D66"/>
    <w:rsid w:val="00B87367"/>
    <w:rsid w:val="00C23920"/>
    <w:rsid w:val="00C23B43"/>
    <w:rsid w:val="00C9714C"/>
    <w:rsid w:val="00D66221"/>
    <w:rsid w:val="00E243CC"/>
    <w:rsid w:val="00E64FAD"/>
    <w:rsid w:val="00E7697B"/>
    <w:rsid w:val="00E970C1"/>
    <w:rsid w:val="00F009D2"/>
    <w:rsid w:val="00F63584"/>
    <w:rsid w:val="00F83C09"/>
    <w:rsid w:val="00FF17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EF88916-2DE8-4E3F-89E9-9F5CE619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22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1141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622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66221"/>
    <w:rPr>
      <w:rFonts w:eastAsiaTheme="minorEastAsia"/>
      <w:sz w:val="24"/>
      <w:szCs w:val="24"/>
      <w:lang w:val="es-ES_tradnl" w:eastAsia="es-ES"/>
    </w:rPr>
  </w:style>
  <w:style w:type="paragraph" w:styleId="Piedepgina">
    <w:name w:val="footer"/>
    <w:basedOn w:val="Normal"/>
    <w:link w:val="PiedepginaCar"/>
    <w:uiPriority w:val="99"/>
    <w:unhideWhenUsed/>
    <w:rsid w:val="00D6622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66221"/>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66221"/>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66221"/>
    <w:pPr>
      <w:ind w:left="708"/>
    </w:pPr>
    <w:rPr>
      <w:sz w:val="22"/>
      <w:szCs w:val="22"/>
      <w:lang w:eastAsia="en-US"/>
    </w:rPr>
  </w:style>
  <w:style w:type="paragraph" w:customStyle="1" w:styleId="j">
    <w:name w:val="j"/>
    <w:basedOn w:val="Normal"/>
    <w:rsid w:val="00D66221"/>
    <w:pPr>
      <w:spacing w:before="100" w:beforeAutospacing="1" w:after="100" w:afterAutospacing="1"/>
    </w:pPr>
    <w:rPr>
      <w:lang w:val="es-MX" w:eastAsia="es-MX"/>
    </w:rPr>
  </w:style>
  <w:style w:type="character" w:customStyle="1" w:styleId="nacep">
    <w:name w:val="n_acep"/>
    <w:basedOn w:val="Fuentedeprrafopredeter"/>
    <w:rsid w:val="00D66221"/>
  </w:style>
  <w:style w:type="character" w:customStyle="1" w:styleId="u">
    <w:name w:val="u"/>
    <w:basedOn w:val="Fuentedeprrafopredeter"/>
    <w:rsid w:val="00D66221"/>
  </w:style>
  <w:style w:type="character" w:customStyle="1" w:styleId="Ttulo2Car">
    <w:name w:val="Título 2 Car"/>
    <w:basedOn w:val="Fuentedeprrafopredeter"/>
    <w:link w:val="Ttulo2"/>
    <w:uiPriority w:val="9"/>
    <w:rsid w:val="00611411"/>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A42D6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2D66"/>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7</Pages>
  <Words>1220</Words>
  <Characters>6714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5</cp:revision>
  <cp:lastPrinted>2019-02-14T23:35:00Z</cp:lastPrinted>
  <dcterms:created xsi:type="dcterms:W3CDTF">2019-02-14T22:24:00Z</dcterms:created>
  <dcterms:modified xsi:type="dcterms:W3CDTF">2019-03-14T23:05:00Z</dcterms:modified>
</cp:coreProperties>
</file>